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1452"/>
        <w:gridCol w:w="1010"/>
        <w:gridCol w:w="3219"/>
      </w:tblGrid>
      <w:tr w:rsidR="00BA1000" w:rsidRPr="00BA1000" w14:paraId="7E81F3ED" w14:textId="77777777" w:rsidTr="00814291">
        <w:trPr>
          <w:trHeight w:val="420"/>
        </w:trPr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67423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CENÍK </w:t>
            </w:r>
            <w:r w:rsidR="00243266"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LAST MILE </w:t>
            </w:r>
            <w:r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PŘEKLADIŠTĚ T-PORT TERMINÁL KOLÍN</w:t>
            </w:r>
          </w:p>
          <w:p w14:paraId="4A140EA0" w14:textId="0D9C555E" w:rsidR="00E12E11" w:rsidRPr="00BA1000" w:rsidRDefault="00E12E11" w:rsidP="00814291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platný od 1.</w:t>
            </w:r>
            <w:r w:rsidR="00BA1000"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</w:t>
            </w:r>
            <w:r w:rsidRPr="00BA10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.2023</w:t>
            </w:r>
          </w:p>
        </w:tc>
      </w:tr>
      <w:tr w:rsidR="00BA1000" w:rsidRPr="00BA1000" w14:paraId="40C20582" w14:textId="77777777" w:rsidTr="00243266">
        <w:trPr>
          <w:trHeight w:val="280"/>
        </w:trPr>
        <w:tc>
          <w:tcPr>
            <w:tcW w:w="3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933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Zákazník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E57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043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D0051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Ceny podléhají platné sazbě DPH</w:t>
            </w:r>
          </w:p>
        </w:tc>
      </w:tr>
      <w:tr w:rsidR="00BA1000" w:rsidRPr="00BA1000" w14:paraId="51BAF42F" w14:textId="77777777" w:rsidTr="00243266">
        <w:trPr>
          <w:trHeight w:val="26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D39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B1C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2E1F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4A02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A1000" w:rsidRPr="00BA1000" w14:paraId="18B448B2" w14:textId="77777777" w:rsidTr="00243266">
        <w:trPr>
          <w:trHeight w:val="28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9787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D177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747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CFB7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A1000" w:rsidRPr="00BA1000" w14:paraId="76890DE3" w14:textId="77777777" w:rsidTr="00243266">
        <w:trPr>
          <w:trHeight w:val="32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465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C39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Za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EE7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EUR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5699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Poznámky</w:t>
            </w:r>
          </w:p>
        </w:tc>
      </w:tr>
      <w:tr w:rsidR="00BA1000" w:rsidRPr="00BA1000" w14:paraId="6BD1ABFB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785F" w14:textId="77777777" w:rsidR="00814291" w:rsidRPr="00BA1000" w:rsidRDefault="00814291" w:rsidP="0081429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Last mile: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93FA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B1E4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4A07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1000" w:rsidRPr="00BA1000" w14:paraId="7A2D1C7E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BA49" w14:textId="77777777" w:rsidR="00814291" w:rsidRPr="00BA1000" w:rsidRDefault="00814291" w:rsidP="00814291">
            <w:pPr>
              <w:pStyle w:val="Odstavecseseznamem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pravidelná obsluha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7756" w14:textId="1A3BEADC" w:rsidR="00814291" w:rsidRPr="00BA1000" w:rsidRDefault="00FC647C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každou </w:t>
            </w:r>
            <w:r w:rsidR="002B0562"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D88A" w14:textId="3062CB61" w:rsidR="00814291" w:rsidRPr="00BA1000" w:rsidRDefault="00165FEE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E5C0" w14:textId="26B6974A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>Přístavba a odsun jednotlivých vozů, či menších skupin vozů (do 5 ks vozů nebo vozových zásilek)</w:t>
            </w:r>
          </w:p>
          <w:p w14:paraId="263DB265" w14:textId="77777777" w:rsidR="00814291" w:rsidRPr="00BA1000" w:rsidRDefault="00814291" w:rsidP="00814291">
            <w:pPr>
              <w:rPr>
                <w:rFonts w:ascii="Times New Roman" w:hAnsi="Times New Roman" w:cs="Times New Roman"/>
              </w:rPr>
            </w:pPr>
          </w:p>
          <w:p w14:paraId="27F196A6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1000" w:rsidRPr="00BA1000" w14:paraId="41ED133F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04D6" w14:textId="77777777" w:rsidR="00814291" w:rsidRPr="00BA1000" w:rsidRDefault="00814291" w:rsidP="00814291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obsluha na objednávku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5158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vlak/ucelená </w:t>
            </w:r>
            <w:proofErr w:type="gramStart"/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souprava  vozů</w:t>
            </w:r>
            <w:proofErr w:type="gramEnd"/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/vozových zásilek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815F" w14:textId="49A96419" w:rsidR="00814291" w:rsidRPr="00BA1000" w:rsidRDefault="00584D88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602A4" w14:textId="77777777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>Přístavba, odsun a posun (v průběhu manipulace jednotek na vlaku) ucelených vlaků, případně ucelených souprav nad 5 kusů vozů, nebo vozových zásilek. Probíhá dle potřeby výkonu, nejdéle však v 8 hod. směnách (standardně od 7,00 hod do 15 hod, po dohodě i v jiných časech při zachování 8 hod. směny)</w:t>
            </w:r>
          </w:p>
          <w:p w14:paraId="647FFAFC" w14:textId="77777777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>Závaznou objednávku je třeba zaslat:</w:t>
            </w:r>
          </w:p>
          <w:p w14:paraId="1CCC723D" w14:textId="68C95D49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Přístavba má proběhnout v úterý až sobotu – nejpozději </w:t>
            </w:r>
            <w:r w:rsidR="00FA5856" w:rsidRPr="00BA1000">
              <w:rPr>
                <w:rFonts w:ascii="Calibri" w:hAnsi="Calibri" w:cs="Calibri"/>
                <w:sz w:val="22"/>
                <w:szCs w:val="22"/>
              </w:rPr>
              <w:t>7</w:t>
            </w:r>
            <w:r w:rsidR="00901E21" w:rsidRPr="00BA1000">
              <w:rPr>
                <w:rFonts w:ascii="Calibri" w:hAnsi="Calibri" w:cs="Calibri"/>
                <w:sz w:val="22"/>
                <w:szCs w:val="22"/>
              </w:rPr>
              <w:t>2</w:t>
            </w:r>
            <w:r w:rsidRPr="00BA1000">
              <w:rPr>
                <w:rFonts w:ascii="Calibri" w:hAnsi="Calibri" w:cs="Calibri"/>
                <w:sz w:val="22"/>
                <w:szCs w:val="22"/>
              </w:rPr>
              <w:t xml:space="preserve"> hodin před plánovanou přístavbou</w:t>
            </w:r>
            <w:r w:rsidRPr="00BA1000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  <w:p w14:paraId="6A47441B" w14:textId="779995A8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Přístavba má proběhnout v neděli a pondělí – nejpozději do čtvrtka </w:t>
            </w:r>
            <w:r w:rsidR="005009FD" w:rsidRPr="00BA1000">
              <w:rPr>
                <w:rFonts w:ascii="Calibri" w:hAnsi="Calibri" w:cs="Calibri"/>
                <w:sz w:val="22"/>
                <w:szCs w:val="22"/>
              </w:rPr>
              <w:t>9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:00</w:t>
            </w:r>
          </w:p>
          <w:p w14:paraId="4B0CB79E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1000" w:rsidRPr="00BA1000" w14:paraId="587884F4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8327A" w14:textId="77777777" w:rsidR="00814291" w:rsidRPr="00BA1000" w:rsidRDefault="00814291" w:rsidP="00814291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přesčas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3CF3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započatá hod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00CD1" w14:textId="67F40765" w:rsidR="00814291" w:rsidRPr="00BA1000" w:rsidRDefault="007E1695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8A643" w14:textId="7DB0FFFA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V případě, že výkon v rámci </w:t>
            </w:r>
            <w:r w:rsidR="00791E8A" w:rsidRPr="00BA1000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Pr="00BA1000">
              <w:rPr>
                <w:rFonts w:ascii="Calibri" w:hAnsi="Calibri" w:cs="Calibri"/>
                <w:sz w:val="22"/>
                <w:szCs w:val="22"/>
                <w:u w:val="single"/>
              </w:rPr>
              <w:t>bsluhy na objednávku</w:t>
            </w:r>
            <w:r w:rsidRPr="00BA1000">
              <w:rPr>
                <w:rFonts w:ascii="Calibri" w:hAnsi="Calibri" w:cs="Calibri"/>
                <w:sz w:val="22"/>
                <w:szCs w:val="22"/>
              </w:rPr>
              <w:t xml:space="preserve"> bude trvat více jak 8 hodin, bude účtován poplatek za každou </w:t>
            </w:r>
            <w:r w:rsidR="000F7203" w:rsidRPr="00BA1000">
              <w:rPr>
                <w:rFonts w:ascii="Calibri" w:hAnsi="Calibri" w:cs="Calibri"/>
                <w:sz w:val="22"/>
                <w:szCs w:val="22"/>
              </w:rPr>
              <w:t xml:space="preserve">další 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započatou hodinu.</w:t>
            </w:r>
          </w:p>
          <w:p w14:paraId="288F273E" w14:textId="77777777" w:rsidR="00814291" w:rsidRPr="00BA1000" w:rsidRDefault="00814291" w:rsidP="00814291">
            <w:pPr>
              <w:rPr>
                <w:rFonts w:ascii="Times New Roman" w:hAnsi="Times New Roman" w:cs="Times New Roman"/>
              </w:rPr>
            </w:pPr>
          </w:p>
          <w:p w14:paraId="16E13344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1000" w:rsidRPr="00BA1000" w14:paraId="16F49EB9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68E6" w14:textId="77777777" w:rsidR="00814291" w:rsidRPr="00BA1000" w:rsidRDefault="00814291" w:rsidP="00814291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t>poplatek za technickou a komerční prohlídku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F461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vůz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0941" w14:textId="17CCA0C9" w:rsidR="00814291" w:rsidRPr="00BA1000" w:rsidRDefault="00B2123D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4B831" w14:textId="20410980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V případě převzetí uceleného vlaku, nebo jednotlivých vozových zásilek v železniční stanici Kolín od jiného dopravce, určeného na přístavbu na </w:t>
            </w:r>
            <w:r w:rsidR="008D081B" w:rsidRPr="00BA1000">
              <w:rPr>
                <w:rFonts w:ascii="Calibri" w:hAnsi="Calibri" w:cs="Calibri"/>
                <w:sz w:val="22"/>
                <w:szCs w:val="22"/>
              </w:rPr>
              <w:t>V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lečku, je třeba uhradit poplatek za provedení technické a komerční prohlídky vozu/vozů.</w:t>
            </w:r>
          </w:p>
          <w:p w14:paraId="043ADE69" w14:textId="77777777" w:rsidR="00814291" w:rsidRPr="00BA1000" w:rsidRDefault="00814291" w:rsidP="00814291">
            <w:pPr>
              <w:rPr>
                <w:rFonts w:ascii="Times New Roman" w:hAnsi="Times New Roman" w:cs="Times New Roman"/>
              </w:rPr>
            </w:pPr>
          </w:p>
          <w:p w14:paraId="617314DF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A1000" w:rsidRPr="00BA1000" w14:paraId="3354399E" w14:textId="77777777" w:rsidTr="00243266">
        <w:trPr>
          <w:trHeight w:val="340"/>
        </w:trPr>
        <w:tc>
          <w:tcPr>
            <w:tcW w:w="3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E318" w14:textId="77777777" w:rsidR="00814291" w:rsidRPr="00BA1000" w:rsidRDefault="00814291" w:rsidP="00814291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A1000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pokuta za neuskutečněnou objednávku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D8EC" w14:textId="77777777" w:rsidR="00814291" w:rsidRPr="00BA1000" w:rsidRDefault="00814291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C155" w14:textId="420CB206" w:rsidR="00814291" w:rsidRPr="00BA1000" w:rsidRDefault="00C83EFA" w:rsidP="00814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10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AD6C" w14:textId="5ACECD52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V případě neuskutečněné objednávky v rámci </w:t>
            </w:r>
            <w:r w:rsidR="00791E8A" w:rsidRPr="00BA1000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Pr="00BA1000">
              <w:rPr>
                <w:rFonts w:ascii="Calibri" w:hAnsi="Calibri" w:cs="Calibri"/>
                <w:sz w:val="22"/>
                <w:szCs w:val="22"/>
                <w:u w:val="single"/>
              </w:rPr>
              <w:t>bsluhy na objednávku</w:t>
            </w:r>
            <w:r w:rsidRPr="00BA1000">
              <w:rPr>
                <w:rFonts w:ascii="Calibri" w:hAnsi="Calibri" w:cs="Calibri"/>
                <w:sz w:val="22"/>
                <w:szCs w:val="22"/>
              </w:rPr>
              <w:t xml:space="preserve"> z důvodů ležících na straně zákazníka (případně když je objednávka zrušena později, než v časy níže) vzniká povinnost </w:t>
            </w:r>
            <w:r w:rsidR="008867AA" w:rsidRPr="00BA1000">
              <w:rPr>
                <w:rFonts w:ascii="Calibri" w:hAnsi="Calibri" w:cs="Calibri"/>
                <w:sz w:val="22"/>
                <w:szCs w:val="22"/>
              </w:rPr>
              <w:t xml:space="preserve">zákazníka 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uhradit smluvní pokutu.</w:t>
            </w:r>
          </w:p>
          <w:p w14:paraId="5985F661" w14:textId="05207658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Zrušení objednávky je třeba </w:t>
            </w:r>
            <w:r w:rsidR="00580D7E" w:rsidRPr="00BA1000">
              <w:rPr>
                <w:rFonts w:ascii="Calibri" w:hAnsi="Calibri" w:cs="Calibri"/>
                <w:sz w:val="22"/>
                <w:szCs w:val="22"/>
              </w:rPr>
              <w:t>oznámit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349C1AE" w14:textId="3E0AA9DC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 xml:space="preserve">Přístavba má proběhnout v úterý až sobotu – nejpozději </w:t>
            </w:r>
            <w:r w:rsidR="005009FD" w:rsidRPr="00BA1000">
              <w:rPr>
                <w:rFonts w:ascii="Calibri" w:hAnsi="Calibri" w:cs="Calibri"/>
                <w:sz w:val="22"/>
                <w:szCs w:val="22"/>
              </w:rPr>
              <w:t>72</w:t>
            </w:r>
            <w:r w:rsidRPr="00BA1000">
              <w:rPr>
                <w:rFonts w:ascii="Calibri" w:hAnsi="Calibri" w:cs="Calibri"/>
                <w:sz w:val="22"/>
                <w:szCs w:val="22"/>
              </w:rPr>
              <w:t xml:space="preserve"> hodin před plánovanou přístavbou</w:t>
            </w:r>
            <w:r w:rsidRPr="00BA1000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  <w:p w14:paraId="3F97ECE7" w14:textId="6A841475" w:rsidR="00814291" w:rsidRPr="00BA1000" w:rsidRDefault="00814291" w:rsidP="00814291">
            <w:pPr>
              <w:rPr>
                <w:rFonts w:ascii="Calibri" w:hAnsi="Calibri" w:cs="Calibri"/>
              </w:rPr>
            </w:pPr>
            <w:r w:rsidRPr="00BA1000">
              <w:rPr>
                <w:rFonts w:ascii="Calibri" w:hAnsi="Calibri" w:cs="Calibri"/>
                <w:sz w:val="22"/>
                <w:szCs w:val="22"/>
              </w:rPr>
              <w:t>Přístavba má proběhnout v n</w:t>
            </w:r>
            <w:r w:rsidR="00580D7E" w:rsidRPr="00BA1000">
              <w:rPr>
                <w:rFonts w:ascii="Calibri" w:hAnsi="Calibri" w:cs="Calibri"/>
                <w:sz w:val="22"/>
                <w:szCs w:val="22"/>
              </w:rPr>
              <w:t>e</w:t>
            </w:r>
            <w:r w:rsidRPr="00BA1000">
              <w:rPr>
                <w:rFonts w:ascii="Calibri" w:hAnsi="Calibri" w:cs="Calibri"/>
                <w:sz w:val="22"/>
                <w:szCs w:val="22"/>
              </w:rPr>
              <w:t xml:space="preserve">děli a pondělí – nejpozději do čtvrtka </w:t>
            </w:r>
            <w:r w:rsidR="005009FD" w:rsidRPr="00BA1000">
              <w:rPr>
                <w:rFonts w:ascii="Calibri" w:hAnsi="Calibri" w:cs="Calibri"/>
                <w:sz w:val="22"/>
                <w:szCs w:val="22"/>
              </w:rPr>
              <w:t>9</w:t>
            </w:r>
            <w:r w:rsidRPr="00BA1000">
              <w:rPr>
                <w:rFonts w:ascii="Calibri" w:hAnsi="Calibri" w:cs="Calibri"/>
                <w:sz w:val="22"/>
                <w:szCs w:val="22"/>
              </w:rPr>
              <w:t>:00</w:t>
            </w:r>
          </w:p>
          <w:p w14:paraId="426838B4" w14:textId="77777777" w:rsidR="00814291" w:rsidRPr="00BA1000" w:rsidRDefault="00814291" w:rsidP="0081429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1332F46" w14:textId="77777777" w:rsidR="00766572" w:rsidRPr="00BA1000" w:rsidRDefault="00766572"/>
    <w:p w14:paraId="63A97834" w14:textId="77777777" w:rsidR="00814291" w:rsidRPr="00BA1000" w:rsidRDefault="00814291">
      <w:pPr>
        <w:rPr>
          <w:b/>
          <w:bCs/>
          <w:u w:val="single"/>
        </w:rPr>
      </w:pPr>
    </w:p>
    <w:p w14:paraId="777552AE" w14:textId="77777777" w:rsidR="00814291" w:rsidRPr="00BA1000" w:rsidRDefault="00814291">
      <w:pPr>
        <w:rPr>
          <w:b/>
          <w:bCs/>
          <w:u w:val="single"/>
        </w:rPr>
      </w:pPr>
      <w:r w:rsidRPr="00BA1000">
        <w:rPr>
          <w:b/>
          <w:bCs/>
          <w:u w:val="single"/>
        </w:rPr>
        <w:t>Ostatní podmínky:</w:t>
      </w:r>
    </w:p>
    <w:p w14:paraId="1B6540EE" w14:textId="5AD8295A" w:rsidR="00F60680" w:rsidRPr="00BA1000" w:rsidRDefault="00F60680" w:rsidP="0056725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BA1000">
        <w:rPr>
          <w:rFonts w:cstheme="minorHAnsi"/>
        </w:rPr>
        <w:t xml:space="preserve">Zájemce je dále povinen provozovateli překladiště uhradit smluvní poplatek za užití vlečky „Vlečka – přístav Kolín“, uvedený ve vzorové smlouvě o provozování drážní dopravy na vlečce „Vlečka – přístav Kolín“, která je dostupná na </w:t>
      </w:r>
      <w:hyperlink r:id="rId8" w:history="1">
        <w:r w:rsidR="00E06282" w:rsidRPr="00BA1000">
          <w:rPr>
            <w:rStyle w:val="Hypertextovodkaz"/>
            <w:rFonts w:cstheme="minorHAnsi"/>
            <w:color w:val="auto"/>
          </w:rPr>
          <w:t>www.terminalytport.cz</w:t>
        </w:r>
      </w:hyperlink>
      <w:r w:rsidRPr="00BA1000">
        <w:rPr>
          <w:rFonts w:cstheme="minorHAnsi"/>
        </w:rPr>
        <w:t xml:space="preserve">, respektive provozovatel překladiště je oprávněn úhradu </w:t>
      </w:r>
      <w:proofErr w:type="gramStart"/>
      <w:r w:rsidRPr="00BA1000">
        <w:rPr>
          <w:rFonts w:cstheme="minorHAnsi"/>
        </w:rPr>
        <w:t>tohoto  poplatku</w:t>
      </w:r>
      <w:proofErr w:type="gramEnd"/>
      <w:r w:rsidRPr="00BA1000">
        <w:rPr>
          <w:rFonts w:cstheme="minorHAnsi"/>
        </w:rPr>
        <w:t xml:space="preserve"> požadovat.</w:t>
      </w:r>
    </w:p>
    <w:p w14:paraId="6AF1DDB6" w14:textId="3E250792" w:rsidR="00814291" w:rsidRPr="00BA1000" w:rsidRDefault="00814291" w:rsidP="00BA1000">
      <w:pPr>
        <w:pStyle w:val="Odstavecseseznamem"/>
        <w:numPr>
          <w:ilvl w:val="0"/>
          <w:numId w:val="3"/>
        </w:numPr>
        <w:jc w:val="both"/>
      </w:pPr>
      <w:r w:rsidRPr="00BA1000">
        <w:t>Ceny za služby jsou uvedeny bez DPH, která bude připočtena dle platné a účinné právní úpravy.</w:t>
      </w:r>
    </w:p>
    <w:p w14:paraId="5BD37CBC" w14:textId="012DA7AB" w:rsidR="00814291" w:rsidRPr="00BA1000" w:rsidRDefault="00E93724" w:rsidP="00BA1000">
      <w:pPr>
        <w:pStyle w:val="Odstavecseseznamem"/>
        <w:numPr>
          <w:ilvl w:val="0"/>
          <w:numId w:val="3"/>
        </w:numPr>
        <w:jc w:val="both"/>
      </w:pPr>
      <w:r w:rsidRPr="00BA1000">
        <w:t xml:space="preserve">Cena za poskytnuté služby je splatná do 30 dnů od poskytnutí služby, případně provozovatel překladiště může </w:t>
      </w:r>
      <w:r w:rsidR="00014AC8" w:rsidRPr="00BA1000">
        <w:t>vystavit faktury</w:t>
      </w:r>
      <w:r w:rsidRPr="00BA1000">
        <w:t xml:space="preserve"> za poskytnuté služby </w:t>
      </w:r>
      <w:r w:rsidR="00014AC8" w:rsidRPr="00BA1000">
        <w:t xml:space="preserve">se </w:t>
      </w:r>
      <w:r w:rsidRPr="00BA1000">
        <w:t>splatnost</w:t>
      </w:r>
      <w:r w:rsidR="00014AC8" w:rsidRPr="00BA1000">
        <w:t>í</w:t>
      </w:r>
      <w:r w:rsidRPr="00BA1000">
        <w:t xml:space="preserve"> 30 dnů </w:t>
      </w:r>
      <w:proofErr w:type="gramStart"/>
      <w:r w:rsidRPr="00BA1000">
        <w:t>od  vystavení</w:t>
      </w:r>
      <w:proofErr w:type="gramEnd"/>
      <w:r w:rsidR="00014AC8" w:rsidRPr="00BA1000">
        <w:t xml:space="preserve"> faktury</w:t>
      </w:r>
      <w:r w:rsidRPr="00BA1000">
        <w:t>.</w:t>
      </w:r>
    </w:p>
    <w:p w14:paraId="134F8AFB" w14:textId="3636EE14" w:rsidR="00F5541B" w:rsidRPr="00BA1000" w:rsidRDefault="00F5541B" w:rsidP="00BA1000">
      <w:pPr>
        <w:pStyle w:val="Odstavecseseznamem"/>
        <w:numPr>
          <w:ilvl w:val="0"/>
          <w:numId w:val="3"/>
        </w:numPr>
        <w:jc w:val="both"/>
      </w:pPr>
      <w:r w:rsidRPr="00BA1000">
        <w:t>Provozovatel překladiště je oprávněn ceny za výše uvedené služby jednostranně upravit (</w:t>
      </w:r>
      <w:r w:rsidR="00567252" w:rsidRPr="00BA1000">
        <w:t>valorizovat</w:t>
      </w:r>
      <w:r w:rsidRPr="00BA1000">
        <w:t xml:space="preserve">), a to každý kalendářní rok, až o částku odpovídající průměrné roční míře inflace za předchozí kalendářní rok, vyjádřené úhrnným indexem spotřebitelských cen, který vykáže ústřední orgán vykonávající státní statistickou službu. </w:t>
      </w:r>
      <w:r w:rsidR="00567252" w:rsidRPr="00BA1000">
        <w:t>Valorizovaná</w:t>
      </w:r>
      <w:r w:rsidRPr="00BA1000">
        <w:t xml:space="preserve"> výše cen za uvedené služby bude sdělena provozovatelem překladiště prostřednictvím ceníku na další období. </w:t>
      </w:r>
    </w:p>
    <w:p w14:paraId="5B652E9B" w14:textId="54F040D0" w:rsidR="00814291" w:rsidRPr="00BA1000" w:rsidRDefault="00814291" w:rsidP="00866772">
      <w:pPr>
        <w:pStyle w:val="Odstavecseseznamem"/>
        <w:numPr>
          <w:ilvl w:val="0"/>
          <w:numId w:val="3"/>
        </w:numPr>
        <w:jc w:val="both"/>
      </w:pPr>
      <w:r w:rsidRPr="00BA1000">
        <w:t xml:space="preserve">Zákazník bere na vědomí, že služby „Last mile“ jsou zajišťovány prostřednictvím společnosti ČD </w:t>
      </w:r>
      <w:proofErr w:type="spellStart"/>
      <w:r w:rsidRPr="00BA1000">
        <w:t>Cargo</w:t>
      </w:r>
      <w:proofErr w:type="spellEnd"/>
      <w:r w:rsidR="00DC1D8B" w:rsidRPr="00BA1000">
        <w:t>, a.s.</w:t>
      </w:r>
      <w:r w:rsidRPr="00BA1000">
        <w:t xml:space="preserve"> na základě uzavřené smlouvy s provozovatelem, který je povinen respektovat smluvní ujednání mezi stranami, dle kterého je společnost ČD </w:t>
      </w:r>
      <w:proofErr w:type="spellStart"/>
      <w:r w:rsidRPr="00BA1000">
        <w:t>Cargo</w:t>
      </w:r>
      <w:proofErr w:type="spellEnd"/>
      <w:r w:rsidR="004B4C8B" w:rsidRPr="00BA1000">
        <w:t>, a.s.</w:t>
      </w:r>
      <w:r w:rsidRPr="00BA1000">
        <w:t xml:space="preserve"> oprávněna měnit ceny za jednotlivé služby, a to zpravidla jednou ročně. Dojde-li ke změně smluv</w:t>
      </w:r>
      <w:r w:rsidR="002F1F99" w:rsidRPr="00BA1000">
        <w:t>ního ujednání týkajícího se jednotlivých cen za služby „Last mile“</w:t>
      </w:r>
      <w:r w:rsidRPr="00BA1000">
        <w:t>, je provozovatel povinen a oprávněn upravit odpovídajícím způsobem i ceny uvedené v tomto ceníku.</w:t>
      </w:r>
    </w:p>
    <w:p w14:paraId="04FACFDA" w14:textId="77777777" w:rsidR="0019480F" w:rsidRPr="00BA1000" w:rsidRDefault="0019480F" w:rsidP="0019480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BA1000">
        <w:rPr>
          <w:rFonts w:cstheme="minorHAnsi"/>
        </w:rPr>
        <w:t xml:space="preserve">Provozovatel překladiště upozorňuje zájemce, že zájemci mohou být naúčtovány další poplatky, které vždy aktuálně vyplývají z Tarifu ČD </w:t>
      </w:r>
      <w:proofErr w:type="spellStart"/>
      <w:r w:rsidRPr="00BA1000">
        <w:rPr>
          <w:rFonts w:cstheme="minorHAnsi"/>
        </w:rPr>
        <w:t>Cargo</w:t>
      </w:r>
      <w:proofErr w:type="spellEnd"/>
      <w:r w:rsidRPr="00BA1000">
        <w:rPr>
          <w:rFonts w:cstheme="minorHAnsi"/>
        </w:rPr>
        <w:t xml:space="preserve"> (Tarif ČD </w:t>
      </w:r>
      <w:proofErr w:type="spellStart"/>
      <w:r w:rsidRPr="00BA1000">
        <w:rPr>
          <w:rFonts w:cstheme="minorHAnsi"/>
        </w:rPr>
        <w:t>Cargo</w:t>
      </w:r>
      <w:proofErr w:type="spellEnd"/>
      <w:r w:rsidRPr="00BA1000">
        <w:rPr>
          <w:rFonts w:cstheme="minorHAnsi"/>
        </w:rPr>
        <w:t xml:space="preserve"> je dostupný na </w:t>
      </w:r>
      <w:hyperlink r:id="rId9" w:history="1">
        <w:r w:rsidRPr="00BA1000">
          <w:rPr>
            <w:rStyle w:val="Hypertextovodkaz"/>
            <w:rFonts w:cstheme="minorHAnsi"/>
            <w:color w:val="auto"/>
          </w:rPr>
          <w:t>https://www.cdcargo.cz/tvz</w:t>
        </w:r>
      </w:hyperlink>
      <w:r w:rsidRPr="00BA1000">
        <w:rPr>
          <w:rFonts w:cstheme="minorHAnsi"/>
        </w:rPr>
        <w:t xml:space="preserve">) </w:t>
      </w:r>
    </w:p>
    <w:p w14:paraId="1FF342EE" w14:textId="77777777" w:rsidR="0019480F" w:rsidRPr="00BA1000" w:rsidRDefault="0019480F" w:rsidP="00BA1000">
      <w:pPr>
        <w:pStyle w:val="Odstavecseseznamem"/>
        <w:jc w:val="both"/>
      </w:pPr>
    </w:p>
    <w:sectPr w:rsidR="0019480F" w:rsidRPr="00BA1000" w:rsidSect="007E1D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809"/>
    <w:multiLevelType w:val="hybridMultilevel"/>
    <w:tmpl w:val="5580A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6F0"/>
    <w:multiLevelType w:val="hybridMultilevel"/>
    <w:tmpl w:val="43C0A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B27"/>
    <w:multiLevelType w:val="hybridMultilevel"/>
    <w:tmpl w:val="3F7AB9D8"/>
    <w:lvl w:ilvl="0" w:tplc="A13297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58C6"/>
    <w:multiLevelType w:val="hybridMultilevel"/>
    <w:tmpl w:val="577A6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17846">
    <w:abstractNumId w:val="2"/>
  </w:num>
  <w:num w:numId="2" w16cid:durableId="9843266">
    <w:abstractNumId w:val="1"/>
  </w:num>
  <w:num w:numId="3" w16cid:durableId="748229273">
    <w:abstractNumId w:val="0"/>
  </w:num>
  <w:num w:numId="4" w16cid:durableId="353729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1"/>
    <w:rsid w:val="00014AC8"/>
    <w:rsid w:val="000D26F6"/>
    <w:rsid w:val="000F7203"/>
    <w:rsid w:val="00130819"/>
    <w:rsid w:val="00156D7E"/>
    <w:rsid w:val="00165FEE"/>
    <w:rsid w:val="00181A95"/>
    <w:rsid w:val="0019480F"/>
    <w:rsid w:val="001E250B"/>
    <w:rsid w:val="002032D6"/>
    <w:rsid w:val="00237A10"/>
    <w:rsid w:val="00243266"/>
    <w:rsid w:val="00291DF3"/>
    <w:rsid w:val="002B0562"/>
    <w:rsid w:val="002B7E2A"/>
    <w:rsid w:val="002D2C75"/>
    <w:rsid w:val="002F1F99"/>
    <w:rsid w:val="00385AAE"/>
    <w:rsid w:val="003B3F94"/>
    <w:rsid w:val="00407589"/>
    <w:rsid w:val="004B4C8B"/>
    <w:rsid w:val="005009FD"/>
    <w:rsid w:val="00505C1C"/>
    <w:rsid w:val="00513CB5"/>
    <w:rsid w:val="00567252"/>
    <w:rsid w:val="00580D7E"/>
    <w:rsid w:val="00584D88"/>
    <w:rsid w:val="0072363F"/>
    <w:rsid w:val="00731973"/>
    <w:rsid w:val="00766572"/>
    <w:rsid w:val="007700F4"/>
    <w:rsid w:val="00791E8A"/>
    <w:rsid w:val="007E1695"/>
    <w:rsid w:val="007E1DED"/>
    <w:rsid w:val="00814291"/>
    <w:rsid w:val="00866772"/>
    <w:rsid w:val="008867AA"/>
    <w:rsid w:val="00892695"/>
    <w:rsid w:val="008D081B"/>
    <w:rsid w:val="008E4AE4"/>
    <w:rsid w:val="00901E21"/>
    <w:rsid w:val="0094175F"/>
    <w:rsid w:val="009E05DC"/>
    <w:rsid w:val="009F6560"/>
    <w:rsid w:val="00B2123D"/>
    <w:rsid w:val="00BA1000"/>
    <w:rsid w:val="00BA2436"/>
    <w:rsid w:val="00BD3039"/>
    <w:rsid w:val="00C22085"/>
    <w:rsid w:val="00C6467D"/>
    <w:rsid w:val="00C83EFA"/>
    <w:rsid w:val="00D110B5"/>
    <w:rsid w:val="00D64D9A"/>
    <w:rsid w:val="00D65E3F"/>
    <w:rsid w:val="00DC1D8B"/>
    <w:rsid w:val="00DD1360"/>
    <w:rsid w:val="00E06282"/>
    <w:rsid w:val="00E10785"/>
    <w:rsid w:val="00E12E11"/>
    <w:rsid w:val="00E93724"/>
    <w:rsid w:val="00EC0E19"/>
    <w:rsid w:val="00F41AF5"/>
    <w:rsid w:val="00F5541B"/>
    <w:rsid w:val="00F60680"/>
    <w:rsid w:val="00FA5856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C0E7"/>
  <w15:chartTrackingRefBased/>
  <w15:docId w15:val="{727A7F85-D909-44F0-BC0B-F15CCB9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2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14291"/>
  </w:style>
  <w:style w:type="character" w:styleId="Odkaznakoment">
    <w:name w:val="annotation reference"/>
    <w:basedOn w:val="Standardnpsmoodstavce"/>
    <w:uiPriority w:val="99"/>
    <w:semiHidden/>
    <w:unhideWhenUsed/>
    <w:rsid w:val="00291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D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D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DF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C0E19"/>
  </w:style>
  <w:style w:type="character" w:styleId="Hypertextovodkaz">
    <w:name w:val="Hyperlink"/>
    <w:basedOn w:val="Standardnpsmoodstavce"/>
    <w:uiPriority w:val="99"/>
    <w:unhideWhenUsed/>
    <w:rsid w:val="00F60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nalytport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argo.cz/tv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620D5B59E9A942A8D51AA38A285469" ma:contentTypeVersion="16" ma:contentTypeDescription="Vytvoří nový dokument" ma:contentTypeScope="" ma:versionID="1bfd6911d0524f1da9d19ad5c728c6a9">
  <xsd:schema xmlns:xsd="http://www.w3.org/2001/XMLSchema" xmlns:xs="http://www.w3.org/2001/XMLSchema" xmlns:p="http://schemas.microsoft.com/office/2006/metadata/properties" xmlns:ns2="c8dbb6ab-35e3-4a5a-b91c-0c63ad5215b8" xmlns:ns3="cf76a5d1-4e61-40b2-a1cd-be5592cd1156" targetNamespace="http://schemas.microsoft.com/office/2006/metadata/properties" ma:root="true" ma:fieldsID="7bc60afa5d2c2e8af2763c6491d51259" ns2:_="" ns3:_="">
    <xsd:import namespace="c8dbb6ab-35e3-4a5a-b91c-0c63ad5215b8"/>
    <xsd:import namespace="cf76a5d1-4e61-40b2-a1cd-be5592cd1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bb6ab-35e3-4a5a-b91c-0c63ad521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b71cd8a-6ffa-4661-838d-c4645fa4e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6a5d1-4e61-40b2-a1cd-be5592cd1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85a88d-c55e-4239-b9f7-2f59037f0f86}" ma:internalName="TaxCatchAll" ma:showField="CatchAllData" ma:web="cf76a5d1-4e61-40b2-a1cd-be5592cd1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dbb6ab-35e3-4a5a-b91c-0c63ad5215b8">
      <Terms xmlns="http://schemas.microsoft.com/office/infopath/2007/PartnerControls"/>
    </lcf76f155ced4ddcb4097134ff3c332f>
    <TaxCatchAll xmlns="cf76a5d1-4e61-40b2-a1cd-be5592cd11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12F39-B80F-4C9A-AA66-B1E5F0CC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bb6ab-35e3-4a5a-b91c-0c63ad5215b8"/>
    <ds:schemaRef ds:uri="cf76a5d1-4e61-40b2-a1cd-be5592cd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EEE6C-6B38-4EF3-AF24-5BC44A6D10E3}">
  <ds:schemaRefs>
    <ds:schemaRef ds:uri="http://schemas.microsoft.com/office/2006/metadata/properties"/>
    <ds:schemaRef ds:uri="http://schemas.microsoft.com/office/infopath/2007/PartnerControls"/>
    <ds:schemaRef ds:uri="c8dbb6ab-35e3-4a5a-b91c-0c63ad5215b8"/>
    <ds:schemaRef ds:uri="cf76a5d1-4e61-40b2-a1cd-be5592cd1156"/>
  </ds:schemaRefs>
</ds:datastoreItem>
</file>

<file path=customXml/itemProps3.xml><?xml version="1.0" encoding="utf-8"?>
<ds:datastoreItem xmlns:ds="http://schemas.openxmlformats.org/officeDocument/2006/customXml" ds:itemID="{28E9E17B-DA8B-43DE-8579-09B7CB39B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533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Links>
    <vt:vector size="12" baseType="variant"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https://www.cdcargo.cz/tvz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http://www.terminalytport.cz/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Lambor</dc:creator>
  <cp:keywords/>
  <dc:description/>
  <cp:lastModifiedBy>Marková Eva</cp:lastModifiedBy>
  <cp:revision>48</cp:revision>
  <cp:lastPrinted>2021-01-11T23:10:00Z</cp:lastPrinted>
  <dcterms:created xsi:type="dcterms:W3CDTF">2023-01-04T06:28:00Z</dcterms:created>
  <dcterms:modified xsi:type="dcterms:W3CDTF">2023-01-16T15:48:00Z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0x010100D8620D5B59E9A942A8D51AA38A285469</vt:lpwstr>
  </property>
  <property fmtid="{D5CDD505-2E9C-101B-9397-08002B2CF9AE}" pid="3" name="MediaServiceImageTags">
    <vt:lpwstr/>
  </property>
</Properties>
</file>